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1" w:rsidRPr="008C5AD4" w:rsidRDefault="00DB41B1" w:rsidP="00DB41B1">
      <w:pPr>
        <w:shd w:val="clear" w:color="auto" w:fill="FFFFFF"/>
        <w:spacing w:after="0" w:line="240" w:lineRule="auto"/>
        <w:jc w:val="center"/>
        <w:outlineLvl w:val="2"/>
        <w:rPr>
          <w:rFonts w:ascii="NewCenturySchlbkLTPro-Roman" w:eastAsia="Times New Roman" w:hAnsi="NewCenturySchlbkLTPro-Roman" w:cs="Arial"/>
          <w:color w:val="FFC000"/>
          <w:spacing w:val="-8"/>
          <w:sz w:val="36"/>
          <w:szCs w:val="36"/>
          <w:lang w:eastAsia="it-IT"/>
        </w:rPr>
      </w:pPr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>L’Associazione</w:t>
      </w:r>
      <w:r w:rsid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 </w:t>
      </w:r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di donne </w:t>
      </w:r>
      <w:proofErr w:type="spellStart"/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>I.D.eA.</w:t>
      </w:r>
      <w:proofErr w:type="spellEnd"/>
    </w:p>
    <w:p w:rsidR="00CE0B0D" w:rsidRPr="00CE0B0D" w:rsidRDefault="00CE0B0D" w:rsidP="00DB41B1">
      <w:pPr>
        <w:shd w:val="clear" w:color="auto" w:fill="FFFFFF"/>
        <w:spacing w:after="0" w:line="240" w:lineRule="auto"/>
        <w:jc w:val="center"/>
        <w:outlineLvl w:val="2"/>
        <w:rPr>
          <w:rFonts w:ascii="NewCenturySchlbkLTPro-Roman" w:eastAsia="Times New Roman" w:hAnsi="NewCenturySchlbkLTPro-Roman" w:cs="Arial"/>
          <w:color w:val="595959" w:themeColor="text1" w:themeTint="A6"/>
          <w:spacing w:val="-8"/>
          <w:sz w:val="36"/>
          <w:szCs w:val="36"/>
          <w:lang w:eastAsia="it-IT"/>
        </w:rPr>
      </w:pPr>
    </w:p>
    <w:p w:rsidR="00DB41B1" w:rsidRPr="00CE0B0D" w:rsidRDefault="00DB41B1" w:rsidP="00DB41B1">
      <w:pPr>
        <w:shd w:val="clear" w:color="auto" w:fill="FFFFFF"/>
        <w:spacing w:after="0" w:line="240" w:lineRule="auto"/>
        <w:jc w:val="center"/>
        <w:outlineLvl w:val="2"/>
        <w:rPr>
          <w:rFonts w:ascii="NewCenturySchlbkLTPro-Roman" w:eastAsia="Times New Roman" w:hAnsi="NewCenturySchlbkLTPro-Roman" w:cs="Arial"/>
          <w:color w:val="595959" w:themeColor="text1" w:themeTint="A6"/>
          <w:spacing w:val="-8"/>
          <w:sz w:val="36"/>
          <w:szCs w:val="36"/>
          <w:lang w:eastAsia="it-IT"/>
        </w:rPr>
      </w:pP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pacing w:val="-8"/>
          <w:sz w:val="36"/>
          <w:szCs w:val="36"/>
          <w:lang w:eastAsia="it-IT"/>
        </w:rPr>
        <w:t>presenta</w:t>
      </w:r>
    </w:p>
    <w:p w:rsidR="00DB41B1" w:rsidRPr="00CE0B0D" w:rsidRDefault="00DB41B1" w:rsidP="00DB41B1">
      <w:pPr>
        <w:shd w:val="clear" w:color="auto" w:fill="FFFFFF"/>
        <w:spacing w:after="0" w:line="240" w:lineRule="auto"/>
        <w:jc w:val="both"/>
        <w:outlineLvl w:val="2"/>
        <w:rPr>
          <w:rFonts w:ascii="NewCenturySchlbkLTPro-Roman" w:eastAsia="Times New Roman" w:hAnsi="NewCenturySchlbkLTPro-Roman" w:cs="Arial"/>
          <w:color w:val="595959" w:themeColor="text1" w:themeTint="A6"/>
          <w:spacing w:val="-8"/>
          <w:sz w:val="36"/>
          <w:szCs w:val="36"/>
          <w:lang w:eastAsia="it-IT"/>
        </w:rPr>
      </w:pPr>
    </w:p>
    <w:p w:rsidR="00DB41B1" w:rsidRPr="00CE0B0D" w:rsidRDefault="00DB41B1" w:rsidP="00DB41B1">
      <w:pPr>
        <w:shd w:val="clear" w:color="auto" w:fill="FFFFFF"/>
        <w:spacing w:after="0" w:line="240" w:lineRule="auto"/>
        <w:jc w:val="both"/>
        <w:outlineLvl w:val="2"/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</w:pPr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Alessandro </w:t>
      </w:r>
      <w:proofErr w:type="spellStart"/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>Leogrande</w:t>
      </w:r>
      <w:proofErr w:type="spellEnd"/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, </w:t>
      </w:r>
      <w:r w:rsidRPr="008C5AD4">
        <w:rPr>
          <w:rFonts w:ascii="NewCenturySchlbkLTPro-Roman" w:eastAsia="Times New Roman" w:hAnsi="NewCenturySchlbkLTPro-Roman" w:cs="Arial"/>
          <w:b/>
          <w:i/>
          <w:color w:val="FFC000"/>
          <w:spacing w:val="-8"/>
          <w:sz w:val="36"/>
          <w:szCs w:val="36"/>
          <w:lang w:eastAsia="it-IT"/>
        </w:rPr>
        <w:t>La frontiera</w:t>
      </w:r>
      <w:r w:rsidRPr="008C5AD4">
        <w:rPr>
          <w:rFonts w:ascii="NewCenturySchlbkLTPro-Roman" w:eastAsia="Times New Roman" w:hAnsi="NewCenturySchlbkLTPro-Roman" w:cs="Arial"/>
          <w:color w:val="FFC000"/>
          <w:spacing w:val="-8"/>
          <w:sz w:val="36"/>
          <w:szCs w:val="36"/>
          <w:lang w:eastAsia="it-IT"/>
        </w:rPr>
        <w:t xml:space="preserve"> (Feltrinelli, 2015) 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pacing w:val="-8"/>
          <w:sz w:val="36"/>
          <w:szCs w:val="36"/>
          <w:lang w:eastAsia="it-IT"/>
        </w:rPr>
        <w:t xml:space="preserve">– </w:t>
      </w: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Giovedì 19 novembre 2015 ore 19.30 – Palazzo Comunale Trepuzzi</w:t>
      </w:r>
    </w:p>
    <w:p w:rsidR="00DB41B1" w:rsidRPr="00CE0B0D" w:rsidRDefault="00DB41B1" w:rsidP="00DB41B1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</w:pP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Sarà presente l’autore</w:t>
      </w:r>
    </w:p>
    <w:p w:rsidR="00DB41B1" w:rsidRPr="00CE0B0D" w:rsidRDefault="00DB41B1" w:rsidP="00DB41B1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color w:val="595959" w:themeColor="text1" w:themeTint="A6"/>
          <w:spacing w:val="-8"/>
          <w:sz w:val="36"/>
          <w:szCs w:val="36"/>
          <w:lang w:eastAsia="it-IT"/>
        </w:rPr>
      </w:pPr>
    </w:p>
    <w:p w:rsidR="00DB41B1" w:rsidRPr="00CE0B0D" w:rsidRDefault="00DB41B1" w:rsidP="00DB41B1">
      <w:pPr>
        <w:shd w:val="clear" w:color="auto" w:fill="FFFFFF"/>
        <w:spacing w:after="0" w:line="240" w:lineRule="auto"/>
        <w:jc w:val="both"/>
        <w:outlineLvl w:val="2"/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</w:pPr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Sergio Rizzo, </w:t>
      </w:r>
      <w:r w:rsidRPr="008C5AD4">
        <w:rPr>
          <w:rFonts w:ascii="NewCenturySchlbkLTPro-Roman" w:eastAsia="Times New Roman" w:hAnsi="NewCenturySchlbkLTPro-Roman" w:cs="Arial"/>
          <w:b/>
          <w:i/>
          <w:color w:val="FFC000"/>
          <w:spacing w:val="-8"/>
          <w:sz w:val="36"/>
          <w:szCs w:val="36"/>
          <w:lang w:eastAsia="it-IT"/>
        </w:rPr>
        <w:t>Il facilitatore</w:t>
      </w:r>
      <w:r w:rsidRPr="008C5AD4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 (Feltrinelli, 2015) </w:t>
      </w: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– Martedì 24 novembre 2015 ore 19.30 –  Palazzo Comunale Trepuzzi</w:t>
      </w:r>
    </w:p>
    <w:p w:rsidR="00DB41B1" w:rsidRPr="00CE0B0D" w:rsidRDefault="00DB41B1" w:rsidP="00DB41B1">
      <w:pPr>
        <w:shd w:val="clear" w:color="auto" w:fill="FFFFFF"/>
        <w:spacing w:after="0" w:line="240" w:lineRule="auto"/>
        <w:jc w:val="both"/>
        <w:outlineLvl w:val="2"/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</w:pP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 xml:space="preserve">Dialogherà con l’autore Claudio Scamardella, Direttore de </w:t>
      </w:r>
      <w:r w:rsidR="008F3C43"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“</w:t>
      </w: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Il Nuovo Quotidiano di Puglia</w:t>
      </w:r>
      <w:r w:rsidR="008F3C43"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”</w:t>
      </w: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 xml:space="preserve">    </w:t>
      </w:r>
    </w:p>
    <w:p w:rsidR="00DB41B1" w:rsidRPr="00CE0B0D" w:rsidRDefault="00DB41B1" w:rsidP="00DB41B1">
      <w:pPr>
        <w:shd w:val="clear" w:color="auto" w:fill="FFFFFF"/>
        <w:spacing w:after="0" w:line="240" w:lineRule="auto"/>
        <w:jc w:val="both"/>
        <w:outlineLvl w:val="2"/>
        <w:rPr>
          <w:rFonts w:ascii="NewCenturySchlbkLTPro-Roman" w:eastAsia="Times New Roman" w:hAnsi="NewCenturySchlbkLTPro-Roman" w:cs="Arial"/>
          <w:b/>
          <w:i/>
          <w:color w:val="595959" w:themeColor="text1" w:themeTint="A6"/>
          <w:spacing w:val="-8"/>
          <w:sz w:val="36"/>
          <w:szCs w:val="36"/>
          <w:lang w:eastAsia="it-IT"/>
        </w:rPr>
      </w:pPr>
    </w:p>
    <w:p w:rsidR="00DB41B1" w:rsidRPr="00CE0B0D" w:rsidRDefault="00DB41B1" w:rsidP="00DB41B1">
      <w:pPr>
        <w:shd w:val="clear" w:color="auto" w:fill="FFFFFF"/>
        <w:spacing w:after="0" w:line="240" w:lineRule="auto"/>
        <w:jc w:val="both"/>
        <w:outlineLvl w:val="2"/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</w:pPr>
      <w:r w:rsidRPr="00CE0B0D">
        <w:rPr>
          <w:rFonts w:ascii="NewCenturySchlbkLTPro-Roman" w:eastAsia="Times New Roman" w:hAnsi="NewCenturySchlbkLTPro-Roman" w:cs="Arial"/>
          <w:b/>
          <w:color w:val="595959" w:themeColor="text1" w:themeTint="A6"/>
          <w:spacing w:val="-8"/>
          <w:sz w:val="36"/>
          <w:szCs w:val="36"/>
          <w:lang w:eastAsia="it-IT"/>
        </w:rPr>
        <w:t>Con il patrocinio del Comune di Trepuzzi</w:t>
      </w:r>
    </w:p>
    <w:p w:rsidR="00DB41B1" w:rsidRDefault="00DB41B1" w:rsidP="00DB41B1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color w:val="000000"/>
          <w:spacing w:val="-8"/>
          <w:sz w:val="36"/>
          <w:szCs w:val="36"/>
          <w:lang w:eastAsia="it-IT"/>
        </w:rPr>
      </w:pPr>
      <w:r>
        <w:rPr>
          <w:rFonts w:ascii="NewCenturySchlbkLTPro-Roman" w:eastAsia="Times New Roman" w:hAnsi="NewCenturySchlbkLTPro-Roman" w:cs="Arial"/>
          <w:color w:val="000000"/>
          <w:spacing w:val="-8"/>
          <w:sz w:val="36"/>
          <w:szCs w:val="36"/>
          <w:lang w:eastAsia="it-IT"/>
        </w:rPr>
        <w:t xml:space="preserve"> </w:t>
      </w:r>
    </w:p>
    <w:p w:rsidR="00DB41B1" w:rsidRDefault="00DB41B1" w:rsidP="00DB41B1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color w:val="000000"/>
          <w:spacing w:val="-8"/>
          <w:sz w:val="36"/>
          <w:szCs w:val="36"/>
          <w:lang w:eastAsia="it-IT"/>
        </w:rPr>
      </w:pPr>
    </w:p>
    <w:p w:rsidR="00DB41B1" w:rsidRPr="00DB41B1" w:rsidRDefault="00DB41B1" w:rsidP="00DB41B1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b/>
          <w:color w:val="000000"/>
          <w:spacing w:val="-8"/>
          <w:sz w:val="36"/>
          <w:szCs w:val="36"/>
          <w:lang w:eastAsia="it-IT"/>
        </w:rPr>
      </w:pPr>
      <w:r w:rsidRPr="008F3C43">
        <w:rPr>
          <w:rFonts w:ascii="NewCenturySchlbkLTPro-Roman" w:eastAsia="Times New Roman" w:hAnsi="NewCenturySchlbkLTPro-Roman" w:cs="Arial"/>
          <w:b/>
          <w:i/>
          <w:color w:val="FFC000"/>
          <w:spacing w:val="-8"/>
          <w:sz w:val="36"/>
          <w:szCs w:val="36"/>
          <w:lang w:eastAsia="it-IT"/>
        </w:rPr>
        <w:t>La frontiera</w:t>
      </w:r>
      <w:r w:rsidRPr="008F3C43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 di Alessandro </w:t>
      </w:r>
      <w:proofErr w:type="spellStart"/>
      <w:r w:rsidRPr="008F3C43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>Leogrande</w:t>
      </w:r>
      <w:proofErr w:type="spellEnd"/>
      <w:r w:rsidRPr="00DB41B1">
        <w:rPr>
          <w:rFonts w:ascii="NewCenturySchlbkLTPro-Roman" w:eastAsia="Times New Roman" w:hAnsi="NewCenturySchlbkLTPro-Roman" w:cs="Arial"/>
          <w:b/>
          <w:color w:val="000000"/>
          <w:spacing w:val="-8"/>
          <w:sz w:val="36"/>
          <w:szCs w:val="36"/>
          <w:lang w:eastAsia="it-IT"/>
        </w:rPr>
        <w:t xml:space="preserve"> </w:t>
      </w:r>
    </w:p>
    <w:p w:rsidR="008F3C43" w:rsidRPr="00DB41B1" w:rsidRDefault="008F3C43" w:rsidP="00DB41B1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color w:val="000000"/>
          <w:spacing w:val="-8"/>
          <w:sz w:val="36"/>
          <w:szCs w:val="36"/>
          <w:lang w:eastAsia="it-IT"/>
        </w:rPr>
      </w:pPr>
    </w:p>
    <w:p w:rsidR="008F3C43" w:rsidRPr="00CE0B0D" w:rsidRDefault="00DB41B1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C’è una linea immaginaria</w:t>
      </w:r>
      <w:r w:rsidR="008F3C43"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, 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eppure realissima,</w:t>
      </w:r>
      <w:r w:rsidR="008F3C43"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una ferita non chiusa, un luogo di tutti e di nessuno di cui ognuno, invisibilmente, è parte: è la frontiera che separa e insieme unisce il Nord del mondo, democratico, liberale e civilizzato, e il Sud, povero, morso dalla guerra, arretrato e antidemocratico. È sul margine di questa frontiera che si gioca il </w:t>
      </w:r>
      <w:r w:rsidR="008F3C43"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g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rande gioco del mondo contemporaneo. Questa soglia è inafferrabile, indefinibile, non-materiale: la scrittura vi si avvicina per approssimazioni, tentativi, muovendosi nell’inesplorato, là dove si consumano le migrazioni e i respingimenti, là dove si combatte per vivere o per morire. </w:t>
      </w:r>
    </w:p>
    <w:p w:rsidR="00DB41B1" w:rsidRPr="00DB41B1" w:rsidRDefault="00DB41B1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proofErr w:type="spellStart"/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Leogrande</w:t>
      </w:r>
      <w:proofErr w:type="spellEnd"/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ci porta a bordo delle navi dell’operazione </w:t>
      </w:r>
      <w:r w:rsidRPr="00DB41B1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Mare Nostrum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e pesca le parole dai fondali marini in cui stanno incastrate e nascoste. Ci porta a conoscere trafficanti e baby-scafisti, insieme alle storie dei sopravvissuti ai naufragi del Mediterraneo al largo di Lampedusa; ricostruisce la storia degli </w:t>
      </w:r>
      <w:r w:rsidR="008F3C43"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E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ritrei, popolo tra i popoli forzati alla migrazione da una feroce dittatura, causata anche dal colonialismo italiano; ci racconta l’altra frontiera, quella greca, quella di </w:t>
      </w:r>
      <w:r w:rsidRPr="00DB41B1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Alba Dorata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e di Patrasso, e poi l’altra ancora, quella dei Balcani; ci introduce in una Libia esplosa e devastata, ci fa entrare dentro i C</w:t>
      </w:r>
      <w:r w:rsidR="008F3C43"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IE 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italiani e i loro soprusi, nella violenza della periferia romana e in quella nascosta nelle nostre anime: così si dà parola all’innominabile buco nero in cui ogni giorno sprofondano il diritto comunitario e le nostre coscienze. Quanta sofferenza. Quanto caos. Quanta indifferenza. Da qualche parte nel futuro, i nostri discendenti si chiederanno come abbiamo potuto lasciare che tutto ciò accadesse.</w:t>
      </w:r>
    </w:p>
    <w:p w:rsidR="00DB41B1" w:rsidRPr="00CE0B0D" w:rsidRDefault="00DB41B1" w:rsidP="00DB41B1">
      <w:pPr>
        <w:spacing w:after="165" w:line="240" w:lineRule="auto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lastRenderedPageBreak/>
        <w:t>Quella parola indica una linea lunga chilometri e spessa anni. Un solco che attraversa la materia e il tempo, le notti e i giorni, le generazioni e le stesse voci che ne parlano, si inseguono, si accavallano, si contraddicono, si comprimono, si dilatano.</w:t>
      </w:r>
      <w:r w:rsidRPr="00DB41B1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br/>
        <w:t>È la frontiera.</w:t>
      </w:r>
    </w:p>
    <w:p w:rsidR="008F3C43" w:rsidRPr="008F3C43" w:rsidRDefault="008F3C43" w:rsidP="00DB41B1">
      <w:pPr>
        <w:spacing w:after="165" w:line="240" w:lineRule="auto"/>
        <w:rPr>
          <w:rFonts w:ascii="NewCenturySchlbkLTPro-Roman" w:eastAsia="Times New Roman" w:hAnsi="NewCenturySchlbkLTPro-Roman" w:cs="Arial"/>
          <w:color w:val="333333"/>
          <w:sz w:val="28"/>
          <w:szCs w:val="28"/>
          <w:lang w:eastAsia="it-IT"/>
        </w:rPr>
      </w:pPr>
    </w:p>
    <w:p w:rsidR="008F3C43" w:rsidRPr="00CE0B0D" w:rsidRDefault="008F3C43" w:rsidP="008F3C43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</w:pPr>
      <w:r w:rsidRPr="00CE0B0D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 xml:space="preserve">Alessandro </w:t>
      </w:r>
      <w:proofErr w:type="spellStart"/>
      <w:r w:rsidRPr="00CE0B0D">
        <w:rPr>
          <w:rFonts w:ascii="NewCenturySchlbkLTPro-Roman" w:eastAsia="Times New Roman" w:hAnsi="NewCenturySchlbkLTPro-Roman" w:cs="Arial"/>
          <w:b/>
          <w:color w:val="FFC000"/>
          <w:spacing w:val="-8"/>
          <w:sz w:val="36"/>
          <w:szCs w:val="36"/>
          <w:lang w:eastAsia="it-IT"/>
        </w:rPr>
        <w:t>Leogrande</w:t>
      </w:r>
      <w:proofErr w:type="spellEnd"/>
    </w:p>
    <w:p w:rsidR="008F3C43" w:rsidRDefault="008F3C43" w:rsidP="008F3C43">
      <w:pPr>
        <w:shd w:val="clear" w:color="auto" w:fill="FFFFFF"/>
        <w:spacing w:after="0" w:line="240" w:lineRule="auto"/>
        <w:outlineLvl w:val="2"/>
        <w:rPr>
          <w:rFonts w:ascii="NewCenturySchlbkLTPro-Roman" w:eastAsia="Times New Roman" w:hAnsi="NewCenturySchlbkLTPro-Roman" w:cs="Arial"/>
          <w:b/>
          <w:color w:val="C00000"/>
          <w:spacing w:val="-8"/>
          <w:sz w:val="36"/>
          <w:szCs w:val="36"/>
          <w:lang w:eastAsia="it-IT"/>
        </w:rPr>
      </w:pPr>
    </w:p>
    <w:p w:rsidR="008F3C43" w:rsidRDefault="008F3C43" w:rsidP="008F3C43">
      <w:pPr>
        <w:rPr>
          <w:rFonts w:ascii="NewCenturySchlbkLTPro-Roman" w:hAnsi="NewCenturySchlbkLTPro-Roman" w:cs="Arial"/>
          <w:color w:val="333333"/>
        </w:rPr>
      </w:pPr>
      <w:r>
        <w:rPr>
          <w:rFonts w:ascii="NewCenturySchlbkLTPro-Roman" w:hAnsi="NewCenturySchlbkLTPro-Roman" w:cs="Arial"/>
          <w:noProof/>
          <w:color w:val="337AB7"/>
          <w:lang w:eastAsia="it-IT"/>
        </w:rPr>
        <w:drawing>
          <wp:inline distT="0" distB="0" distL="0" distR="0">
            <wp:extent cx="2124075" cy="2124075"/>
            <wp:effectExtent l="0" t="0" r="9525" b="9525"/>
            <wp:docPr id="3" name="Immagine 3" descr="Alessandro Leogran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ssandro Leogran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43" w:rsidRPr="00CE0B0D" w:rsidRDefault="008F3C43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Alessandro </w:t>
      </w:r>
      <w:proofErr w:type="spellStart"/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Leogrande</w:t>
      </w:r>
      <w:proofErr w:type="spellEnd"/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è nato a Taranto nel 1977 e vive a Roma. È vicedirettore del mensile “Lo straniero”. Collabora con “Il Corriere del Mezzogiorno”, “Il Riformista”, “Saturno” (inserto culturale de “Il Fatto Quotidiano”), Radio Tre. </w:t>
      </w:r>
    </w:p>
    <w:p w:rsidR="008F3C43" w:rsidRPr="00CE0B0D" w:rsidRDefault="008F3C43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Ha scritto: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Un mare nascosto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(L’Ancora del Mediterraneo, 2000),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Nel paese dei viceré. L’Italia tra pace e guerra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(L’Ancora del Mediterraneo, 2006),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Uomini e caporali. Viaggio tra i nuovi schiavi nelle campagne del Sud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(Mondadori, 2008),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 xml:space="preserve">Le male vite. Storie di contrabbando e di multinazionali 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(Fandango, 2010),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Fumo sulla città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(Fandango, 2013). </w:t>
      </w:r>
    </w:p>
    <w:p w:rsidR="008F3C43" w:rsidRPr="00CE0B0D" w:rsidRDefault="008F3C43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Ha curato le antologie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Nel Sud senza bussola. Venti voci per ritrovare l’orientamento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(con Goffredo </w:t>
      </w:r>
      <w:proofErr w:type="spellStart"/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Fofi</w:t>
      </w:r>
      <w:proofErr w:type="spellEnd"/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, L’Ancora del Mediterraneo, 2002),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Ogni maledetta domenica. Otto storie di calcio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(Minimum Fax, 2010). </w:t>
      </w:r>
    </w:p>
    <w:p w:rsidR="008F3C43" w:rsidRPr="00CE0B0D" w:rsidRDefault="008F3C43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Feltrinelli ha pubblicato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 xml:space="preserve">Il naufragio. Morte nel Mediterraneo 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(2011, premi Volponi e </w:t>
      </w:r>
      <w:proofErr w:type="spellStart"/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>Kapuściński</w:t>
      </w:r>
      <w:proofErr w:type="spellEnd"/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), da cui è stata tratta l’opera </w:t>
      </w:r>
      <w:proofErr w:type="spellStart"/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Katër</w:t>
      </w:r>
      <w:proofErr w:type="spellEnd"/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 xml:space="preserve"> i </w:t>
      </w:r>
      <w:proofErr w:type="spellStart"/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Radës</w:t>
      </w:r>
      <w:proofErr w:type="spellEnd"/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, La frontiera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(2015) e, nella collana digitale Zoom, </w:t>
      </w:r>
      <w:r w:rsidRPr="00CE0B0D">
        <w:rPr>
          <w:rFonts w:ascii="NewCenturySchlbkLTPro-Roman" w:eastAsia="Times New Roman" w:hAnsi="NewCenturySchlbkLTPro-Roman" w:cs="Arial"/>
          <w:i/>
          <w:color w:val="595959" w:themeColor="text1" w:themeTint="A6"/>
          <w:sz w:val="28"/>
          <w:szCs w:val="28"/>
          <w:lang w:eastAsia="it-IT"/>
        </w:rPr>
        <w:t>Adriatico</w:t>
      </w:r>
      <w:r w:rsidRPr="00CE0B0D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(2011).</w:t>
      </w:r>
    </w:p>
    <w:p w:rsidR="008F3C43" w:rsidRDefault="008F3C43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333333"/>
          <w:sz w:val="28"/>
          <w:szCs w:val="28"/>
          <w:lang w:eastAsia="it-IT"/>
        </w:rPr>
      </w:pPr>
    </w:p>
    <w:p w:rsidR="00DF6CAF" w:rsidRPr="00DF6CAF" w:rsidRDefault="00DF6CAF" w:rsidP="00DF6CAF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</w:p>
    <w:p w:rsidR="00DF6CAF" w:rsidRPr="00BF39E4" w:rsidRDefault="00DF6CAF" w:rsidP="00DF6CAF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</w:p>
    <w:p w:rsidR="008C5AD4" w:rsidRPr="008C5AD4" w:rsidRDefault="008C5AD4" w:rsidP="008C5AD4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  <w:r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</w:t>
      </w:r>
      <w:r w:rsidRPr="008C5AD4"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  <w:t xml:space="preserve">   </w:t>
      </w:r>
    </w:p>
    <w:p w:rsidR="008C5AD4" w:rsidRPr="00DB41B1" w:rsidRDefault="008C5AD4" w:rsidP="008F3C43">
      <w:pPr>
        <w:spacing w:after="165" w:line="240" w:lineRule="auto"/>
        <w:jc w:val="both"/>
        <w:rPr>
          <w:rFonts w:ascii="NewCenturySchlbkLTPro-Roman" w:eastAsia="Times New Roman" w:hAnsi="NewCenturySchlbkLTPro-Roman" w:cs="Arial"/>
          <w:color w:val="595959" w:themeColor="text1" w:themeTint="A6"/>
          <w:sz w:val="28"/>
          <w:szCs w:val="28"/>
          <w:lang w:eastAsia="it-IT"/>
        </w:rPr>
      </w:pPr>
    </w:p>
    <w:p w:rsidR="005073F6" w:rsidRDefault="005073F6"/>
    <w:sectPr w:rsidR="005073F6" w:rsidSect="002E4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Pr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807"/>
    <w:multiLevelType w:val="multilevel"/>
    <w:tmpl w:val="6D5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0E0"/>
    <w:rsid w:val="00257938"/>
    <w:rsid w:val="002E41B0"/>
    <w:rsid w:val="00334E95"/>
    <w:rsid w:val="005073F6"/>
    <w:rsid w:val="005C50E0"/>
    <w:rsid w:val="007F62E2"/>
    <w:rsid w:val="0087624C"/>
    <w:rsid w:val="008C5AD4"/>
    <w:rsid w:val="008F3C43"/>
    <w:rsid w:val="00BF39E4"/>
    <w:rsid w:val="00CE0B0D"/>
    <w:rsid w:val="00DB41B1"/>
    <w:rsid w:val="00DF6CAF"/>
    <w:rsid w:val="00E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B0"/>
  </w:style>
  <w:style w:type="paragraph" w:styleId="Titolo1">
    <w:name w:val="heading 1"/>
    <w:basedOn w:val="Normale"/>
    <w:next w:val="Normale"/>
    <w:link w:val="Titolo1Carattere"/>
    <w:uiPriority w:val="9"/>
    <w:qFormat/>
    <w:rsid w:val="008F3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DB41B1"/>
    <w:pPr>
      <w:spacing w:before="330" w:after="165" w:line="240" w:lineRule="auto"/>
      <w:outlineLvl w:val="2"/>
    </w:pPr>
    <w:rPr>
      <w:rFonts w:ascii="NewCenturySchlbkLTPro-Roman" w:eastAsia="Times New Roman" w:hAnsi="NewCenturySchlbkLTPro-Roman" w:cs="Times New Roman"/>
      <w:spacing w:val="-8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B41B1"/>
    <w:rPr>
      <w:rFonts w:ascii="NewCenturySchlbkLTPro-Roman" w:eastAsia="Times New Roman" w:hAnsi="NewCenturySchlbkLTPro-Roman" w:cs="Times New Roman"/>
      <w:spacing w:val="-8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41B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3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8F3C4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8F3C43"/>
    <w:rPr>
      <w:b w:val="0"/>
      <w:bCs w:val="0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3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DB41B1"/>
    <w:pPr>
      <w:spacing w:before="330" w:after="165" w:line="240" w:lineRule="auto"/>
      <w:outlineLvl w:val="2"/>
    </w:pPr>
    <w:rPr>
      <w:rFonts w:ascii="NewCenturySchlbkLTPro-Roman" w:eastAsia="Times New Roman" w:hAnsi="NewCenturySchlbkLTPro-Roman" w:cs="Times New Roman"/>
      <w:spacing w:val="-8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B41B1"/>
    <w:rPr>
      <w:rFonts w:ascii="NewCenturySchlbkLTPro-Roman" w:eastAsia="Times New Roman" w:hAnsi="NewCenturySchlbkLTPro-Roman" w:cs="Times New Roman"/>
      <w:spacing w:val="-8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41B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3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8F3C4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8F3C43"/>
    <w:rPr>
      <w:b w:val="0"/>
      <w:bCs w:val="0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567">
                  <w:marLeft w:val="0"/>
                  <w:marRight w:val="0"/>
                  <w:marTop w:val="0"/>
                  <w:marBottom w:val="0"/>
                  <w:divBdr>
                    <w:top w:val="single" w:sz="6" w:space="3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200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single" w:sz="36" w:space="19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8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eltrinellieditore.it/media/dati_gpe/persone/leoogrande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GiordanoF</cp:lastModifiedBy>
  <cp:revision>2</cp:revision>
  <dcterms:created xsi:type="dcterms:W3CDTF">2015-11-18T11:33:00Z</dcterms:created>
  <dcterms:modified xsi:type="dcterms:W3CDTF">2015-11-18T11:33:00Z</dcterms:modified>
</cp:coreProperties>
</file>