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24" w:rsidRPr="00B4636A" w:rsidRDefault="00B4636A" w:rsidP="00B4636A">
      <w:pPr>
        <w:jc w:val="center"/>
        <w:rPr>
          <w:b/>
          <w:sz w:val="36"/>
          <w:szCs w:val="36"/>
        </w:rPr>
      </w:pPr>
      <w:r w:rsidRPr="00B4636A">
        <w:rPr>
          <w:b/>
          <w:sz w:val="36"/>
          <w:szCs w:val="36"/>
        </w:rPr>
        <w:t>L’ora di tutti</w:t>
      </w:r>
    </w:p>
    <w:p w:rsidR="00F93624" w:rsidRPr="00B4636A" w:rsidRDefault="00F93624" w:rsidP="00B4636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</w:t>
      </w:r>
      <w:r w:rsidRPr="00B463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Nella vita di ciascun uomo capita, almeno una volta, l’ora in cui dare prova di sé; arriva sempre per </w:t>
      </w:r>
      <w:proofErr w:type="spellStart"/>
      <w:r w:rsidRPr="00B463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tutti…</w:t>
      </w:r>
      <w:proofErr w:type="spellEnd"/>
      <w:r w:rsidRPr="00B463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a noi pescatori di Otranto, l’hanno portata i Turchi”.</w:t>
      </w:r>
    </w:p>
    <w:p w:rsidR="00B66282" w:rsidRPr="00B4636A" w:rsidRDefault="00B66282" w:rsidP="00B463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36A">
        <w:rPr>
          <w:rFonts w:ascii="Times New Roman" w:hAnsi="Times New Roman" w:cs="Times New Roman"/>
          <w:sz w:val="28"/>
          <w:szCs w:val="28"/>
        </w:rPr>
        <w:t xml:space="preserve">Una nuova sfida, una nuova avventura teatrale. Inizia così il quindicesimo anno per la compagnia  </w:t>
      </w:r>
      <w:proofErr w:type="spellStart"/>
      <w:r w:rsidRPr="00B4636A">
        <w:rPr>
          <w:rFonts w:ascii="Times New Roman" w:hAnsi="Times New Roman" w:cs="Times New Roman"/>
          <w:sz w:val="28"/>
          <w:szCs w:val="28"/>
        </w:rPr>
        <w:t>Ghèfiura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 Teatro del Salento, che, sempre nello spirito del confronto, si cimenta in un nuovo lavoro, </w:t>
      </w:r>
      <w:r w:rsidRPr="00B4636A">
        <w:rPr>
          <w:rFonts w:ascii="Times New Roman" w:hAnsi="Times New Roman" w:cs="Times New Roman"/>
          <w:b/>
          <w:sz w:val="28"/>
          <w:szCs w:val="28"/>
        </w:rPr>
        <w:t>“L’ora di tutti”</w:t>
      </w:r>
      <w:r w:rsidRPr="00B4636A">
        <w:rPr>
          <w:rFonts w:ascii="Times New Roman" w:hAnsi="Times New Roman" w:cs="Times New Roman"/>
          <w:sz w:val="28"/>
          <w:szCs w:val="28"/>
        </w:rPr>
        <w:t xml:space="preserve">. Una riduzione teatrale del capolavoro di Maria Corti ad opera di Alessandro </w:t>
      </w:r>
      <w:proofErr w:type="spellStart"/>
      <w:r w:rsidRPr="00B4636A">
        <w:rPr>
          <w:rFonts w:ascii="Times New Roman" w:hAnsi="Times New Roman" w:cs="Times New Roman"/>
          <w:sz w:val="28"/>
          <w:szCs w:val="28"/>
        </w:rPr>
        <w:t>Garofalo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>. Rappresentazione  inedita, particolarmente coinvolgente, ambientata ad Otranto e liberamente ispirata al suggestivo romanzo che dà vita all’epopea dei martiri d’Otranto</w:t>
      </w:r>
    </w:p>
    <w:p w:rsidR="0064185E" w:rsidRPr="00B4636A" w:rsidRDefault="0064185E" w:rsidP="00B463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36A">
        <w:rPr>
          <w:rFonts w:ascii="Times New Roman" w:hAnsi="Times New Roman" w:cs="Times New Roman"/>
          <w:b/>
          <w:i/>
          <w:sz w:val="28"/>
          <w:szCs w:val="28"/>
        </w:rPr>
        <w:t>Ghèfiura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>, dal greco “</w:t>
      </w:r>
      <w:r w:rsidRPr="00B4636A">
        <w:rPr>
          <w:rFonts w:ascii="Times New Roman" w:hAnsi="Times New Roman" w:cs="Times New Roman"/>
          <w:b/>
          <w:i/>
          <w:sz w:val="28"/>
          <w:szCs w:val="28"/>
        </w:rPr>
        <w:t>ponte</w:t>
      </w:r>
      <w:r w:rsidRPr="00B4636A">
        <w:rPr>
          <w:rFonts w:ascii="Times New Roman" w:hAnsi="Times New Roman" w:cs="Times New Roman"/>
          <w:sz w:val="28"/>
          <w:szCs w:val="28"/>
        </w:rPr>
        <w:t>”, cerca ancora confronti, nuovi allacci, nuovi legami con r</w:t>
      </w:r>
      <w:r w:rsidR="00B66282" w:rsidRPr="00B4636A">
        <w:rPr>
          <w:rFonts w:ascii="Times New Roman" w:hAnsi="Times New Roman" w:cs="Times New Roman"/>
          <w:sz w:val="28"/>
          <w:szCs w:val="28"/>
        </w:rPr>
        <w:t xml:space="preserve">ealtà arricchenti. In questa </w:t>
      </w:r>
      <w:proofErr w:type="spellStart"/>
      <w:r w:rsidR="00B66282" w:rsidRPr="00B4636A">
        <w:rPr>
          <w:rFonts w:ascii="Times New Roman" w:hAnsi="Times New Roman" w:cs="Times New Roman"/>
          <w:sz w:val="28"/>
          <w:szCs w:val="28"/>
        </w:rPr>
        <w:t>piè</w:t>
      </w:r>
      <w:r w:rsidRPr="00B4636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 infatti, la compagnia si avvale della collaborazione di professionisti, come il docente universitario, </w:t>
      </w:r>
      <w:r w:rsidR="00B66282" w:rsidRPr="00B4636A">
        <w:rPr>
          <w:rFonts w:ascii="Times New Roman" w:hAnsi="Times New Roman" w:cs="Times New Roman"/>
          <w:b/>
          <w:sz w:val="28"/>
          <w:szCs w:val="28"/>
        </w:rPr>
        <w:t>Prof.</w:t>
      </w:r>
      <w:r w:rsidRPr="00B4636A">
        <w:rPr>
          <w:rFonts w:ascii="Times New Roman" w:hAnsi="Times New Roman" w:cs="Times New Roman"/>
          <w:b/>
          <w:sz w:val="28"/>
          <w:szCs w:val="28"/>
        </w:rPr>
        <w:t xml:space="preserve"> Emilio </w:t>
      </w:r>
      <w:proofErr w:type="spellStart"/>
      <w:r w:rsidRPr="00B4636A">
        <w:rPr>
          <w:rFonts w:ascii="Times New Roman" w:hAnsi="Times New Roman" w:cs="Times New Roman"/>
          <w:b/>
          <w:sz w:val="28"/>
          <w:szCs w:val="28"/>
        </w:rPr>
        <w:t>Filieri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 che curerà la presentazione letteraria del testo, l’attore </w:t>
      </w:r>
      <w:r w:rsidRPr="00B4636A">
        <w:rPr>
          <w:rFonts w:ascii="Times New Roman" w:hAnsi="Times New Roman" w:cs="Times New Roman"/>
          <w:b/>
          <w:sz w:val="28"/>
          <w:szCs w:val="28"/>
        </w:rPr>
        <w:t xml:space="preserve">Gino </w:t>
      </w:r>
      <w:proofErr w:type="spellStart"/>
      <w:r w:rsidRPr="00B4636A">
        <w:rPr>
          <w:rFonts w:ascii="Times New Roman" w:hAnsi="Times New Roman" w:cs="Times New Roman"/>
          <w:b/>
          <w:sz w:val="28"/>
          <w:szCs w:val="28"/>
        </w:rPr>
        <w:t>Cesaria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, presente in diverse fiction della tv italiana che sarà la voce narrante della rappresentazione e ancora la musicista </w:t>
      </w:r>
      <w:r w:rsidRPr="00B4636A">
        <w:rPr>
          <w:rFonts w:ascii="Times New Roman" w:hAnsi="Times New Roman" w:cs="Times New Roman"/>
          <w:b/>
          <w:sz w:val="28"/>
          <w:szCs w:val="28"/>
        </w:rPr>
        <w:t>Prof.ssa</w:t>
      </w:r>
      <w:r w:rsidRPr="00B4636A">
        <w:rPr>
          <w:rFonts w:ascii="Times New Roman" w:hAnsi="Times New Roman" w:cs="Times New Roman"/>
          <w:sz w:val="28"/>
          <w:szCs w:val="28"/>
        </w:rPr>
        <w:t xml:space="preserve"> </w:t>
      </w:r>
      <w:r w:rsidRPr="00B4636A">
        <w:rPr>
          <w:rFonts w:ascii="Times New Roman" w:hAnsi="Times New Roman" w:cs="Times New Roman"/>
          <w:b/>
          <w:sz w:val="28"/>
          <w:szCs w:val="28"/>
        </w:rPr>
        <w:t xml:space="preserve">Sabrina </w:t>
      </w:r>
      <w:proofErr w:type="spellStart"/>
      <w:r w:rsidRPr="00B4636A">
        <w:rPr>
          <w:rFonts w:ascii="Times New Roman" w:hAnsi="Times New Roman" w:cs="Times New Roman"/>
          <w:b/>
          <w:sz w:val="28"/>
          <w:szCs w:val="28"/>
        </w:rPr>
        <w:t>Liù</w:t>
      </w:r>
      <w:proofErr w:type="spellEnd"/>
      <w:r w:rsidRPr="00B46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36A">
        <w:rPr>
          <w:rFonts w:ascii="Times New Roman" w:hAnsi="Times New Roman" w:cs="Times New Roman"/>
          <w:b/>
          <w:sz w:val="28"/>
          <w:szCs w:val="28"/>
        </w:rPr>
        <w:t>Luciani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 che con la sua arpa celtica sottolineerà i passaggi più emozionanti dell’opera con le danze di Bernard </w:t>
      </w:r>
      <w:proofErr w:type="spellStart"/>
      <w:r w:rsidRPr="00B4636A">
        <w:rPr>
          <w:rFonts w:ascii="Times New Roman" w:hAnsi="Times New Roman" w:cs="Times New Roman"/>
          <w:sz w:val="28"/>
          <w:szCs w:val="28"/>
        </w:rPr>
        <w:t>Andrès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. Ci si proietta nel futuro partendo dal passato, perché sono le radici che alimentano la crescita, animando una delle pagine più belle della storia </w:t>
      </w:r>
      <w:proofErr w:type="spellStart"/>
      <w:r w:rsidRPr="00B4636A">
        <w:rPr>
          <w:rFonts w:ascii="Times New Roman" w:hAnsi="Times New Roman" w:cs="Times New Roman"/>
          <w:sz w:val="28"/>
          <w:szCs w:val="28"/>
        </w:rPr>
        <w:t>salentina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 xml:space="preserve">. Un affettuoso omaggio alla Terra d’Otranto ed in particolare a quel pezzo di storia, mai abbastanza valorizzata, in cui 800 </w:t>
      </w:r>
      <w:proofErr w:type="spellStart"/>
      <w:r w:rsidRPr="00B4636A">
        <w:rPr>
          <w:rFonts w:ascii="Times New Roman" w:hAnsi="Times New Roman" w:cs="Times New Roman"/>
          <w:sz w:val="28"/>
          <w:szCs w:val="28"/>
        </w:rPr>
        <w:t>salentini</w:t>
      </w:r>
      <w:proofErr w:type="spellEnd"/>
      <w:r w:rsidRPr="00B4636A">
        <w:rPr>
          <w:rFonts w:ascii="Times New Roman" w:hAnsi="Times New Roman" w:cs="Times New Roman"/>
          <w:sz w:val="28"/>
          <w:szCs w:val="28"/>
        </w:rPr>
        <w:t>, a loro insaputa, per ironia di un tragico disegno, furono destinati ad essere eroi e martiri.</w:t>
      </w:r>
    </w:p>
    <w:p w:rsidR="00F93624" w:rsidRPr="00B4636A" w:rsidRDefault="00F93624" w:rsidP="00B46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SINOSSI </w:t>
      </w:r>
    </w:p>
    <w:p w:rsidR="00F93624" w:rsidRPr="00B4636A" w:rsidRDefault="00F93624" w:rsidP="00B4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La sonnolenta e serena quotidianità del borgo antico dei pescatori d’Otranto, viene turbata dalla vicenda della selvaggia </w:t>
      </w:r>
      <w:proofErr w:type="spellStart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Idrusa</w:t>
      </w:r>
      <w:proofErr w:type="spellEnd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che pur essendo sposata con Antonio pescatore, ha l’audacia di parlare con un ufficiale spagnolo che rimane incantato dalla sua bellezza. Nasce così il racconto delle vite e vicende dei beati martiri </w:t>
      </w:r>
      <w:proofErr w:type="spellStart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otrantini</w:t>
      </w:r>
      <w:proofErr w:type="spellEnd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ormai santificati,  che anche nell’opera teatrale così come per il romanzo, viaggia su due dimensioni: una narrativa e l’altra intimistica ed introspettiva. I personaggi nel pieno dell’azione scenica rivelano le più intime emozioni con tutta la genuinità dei sentimenti e la spontaneità dei pensieri, narrati in modo così poetico ed empatico dall’autrice tanto da coinvolgere totalmente il lettore e farlo sentire un tutt’uno con i vari protagonisti dell’epopea.</w:t>
      </w:r>
    </w:p>
    <w:p w:rsidR="00F93624" w:rsidRPr="00B4636A" w:rsidRDefault="00F93624" w:rsidP="00B4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3624" w:rsidRPr="00B4636A" w:rsidRDefault="00F93624" w:rsidP="00B4636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“si era cambiato mestiere da pescatori diventammo soldati”…</w:t>
      </w:r>
    </w:p>
    <w:p w:rsidR="00F93624" w:rsidRPr="00B4636A" w:rsidRDefault="00F93624" w:rsidP="00B46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Nel 1480 gli umili pescatori di Otranto per amore della loro terra, per difendere il loro credo, diedero prova del loro coraggio e divennero soldati e martiri, ora dopo </w:t>
      </w: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tanto tempo, </w:t>
      </w:r>
      <w:r w:rsidR="00DF089A"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gli attori della compagnia </w:t>
      </w:r>
      <w:proofErr w:type="spellStart"/>
      <w:r w:rsidR="00DF089A"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Ghèfiura</w:t>
      </w:r>
      <w:proofErr w:type="spellEnd"/>
      <w:r w:rsidR="00DF089A"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</w:t>
      </w:r>
      <w:r w:rsidR="00DF089A"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cimentano</w:t>
      </w: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 una nuova sfida:</w:t>
      </w:r>
      <w:r w:rsidR="00DF089A"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dare voce e valore a quel popolo troppo a lungo dimenticato, essere interpreti genuini ed autentici di personaggi, che appartengono non solo alla storia </w:t>
      </w:r>
      <w:proofErr w:type="spellStart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salentina</w:t>
      </w:r>
      <w:proofErr w:type="spellEnd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ma ne diventano esempio dell’umanità e del modo di sentire della Terra d’Otranto. L’epopea </w:t>
      </w:r>
      <w:proofErr w:type="spellStart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otrantina</w:t>
      </w:r>
      <w:proofErr w:type="spellEnd"/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diventa così allegoria di ogni lotta di resistenza, sostenuta  da un’etica, da valori forti che fanno il tessuto umano di una terra quale è quella del sud, collettività simbolo di sofferenze e soprusi.</w:t>
      </w:r>
    </w:p>
    <w:p w:rsidR="00F93624" w:rsidRPr="00B4636A" w:rsidRDefault="00B4636A" w:rsidP="00B46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Una voce narrante</w:t>
      </w:r>
      <w:r w:rsidR="00F93624"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tesse, con le stesse parole del romanzo, le vicende e le vite dei protagonisti, regalando alla fine un cammeo del capolavoro scritto dalla Corti.</w:t>
      </w:r>
    </w:p>
    <w:p w:rsidR="00F93624" w:rsidRPr="00B4636A" w:rsidRDefault="00F93624" w:rsidP="00B463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6282" w:rsidRPr="00B4636A" w:rsidRDefault="00B66282" w:rsidP="00B4636A">
      <w:pPr>
        <w:shd w:val="clear" w:color="auto" w:fill="FFFFFF"/>
        <w:spacing w:before="120" w:after="120" w:line="209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63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IL ROMANZO</w:t>
      </w:r>
    </w:p>
    <w:p w:rsidR="00B66282" w:rsidRPr="00B4636A" w:rsidRDefault="00B66282" w:rsidP="00B4636A">
      <w:pPr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B463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it-IT"/>
        </w:rPr>
        <w:t>L'ora di tutti</w:t>
      </w:r>
      <w:r w:rsidRPr="00B4636A">
        <w:rPr>
          <w:rFonts w:ascii="Times New Roman" w:hAnsi="Times New Roman" w:cs="Times New Roman"/>
          <w:sz w:val="28"/>
          <w:szCs w:val="28"/>
          <w:lang w:eastAsia="it-IT"/>
        </w:rPr>
        <w:t xml:space="preserve"> è un romanzo scritto da Maria Corti,  </w:t>
      </w:r>
      <w:proofErr w:type="spellStart"/>
      <w:r w:rsidRPr="00B4636A">
        <w:rPr>
          <w:rFonts w:ascii="Times New Roman" w:hAnsi="Times New Roman" w:cs="Times New Roman"/>
          <w:sz w:val="28"/>
          <w:szCs w:val="28"/>
          <w:lang w:eastAsia="it-IT"/>
        </w:rPr>
        <w:t>salentina</w:t>
      </w:r>
      <w:proofErr w:type="spellEnd"/>
      <w:r w:rsidRPr="00B4636A">
        <w:rPr>
          <w:rFonts w:ascii="Times New Roman" w:hAnsi="Times New Roman" w:cs="Times New Roman"/>
          <w:sz w:val="28"/>
          <w:szCs w:val="28"/>
          <w:lang w:eastAsia="it-IT"/>
        </w:rPr>
        <w:t xml:space="preserve"> di adozione.  Fu pubblicato nel 1962, ed è ispirato alle vicende della </w:t>
      </w:r>
      <w:hyperlink r:id="rId4" w:tooltip="Battaglia di Otranto" w:history="1">
        <w:r w:rsidRPr="00B4636A">
          <w:rPr>
            <w:rFonts w:ascii="Times New Roman" w:hAnsi="Times New Roman" w:cs="Times New Roman"/>
            <w:sz w:val="28"/>
            <w:szCs w:val="28"/>
            <w:u w:val="single"/>
            <w:lang w:eastAsia="it-IT"/>
          </w:rPr>
          <w:t>battaglia di Otranto</w:t>
        </w:r>
      </w:hyperlink>
      <w:r w:rsidRPr="00B4636A">
        <w:rPr>
          <w:rFonts w:ascii="Times New Roman" w:hAnsi="Times New Roman" w:cs="Times New Roman"/>
          <w:sz w:val="28"/>
          <w:szCs w:val="28"/>
          <w:lang w:eastAsia="it-IT"/>
        </w:rPr>
        <w:t>, con la quale i Turchi espugnarono nel </w:t>
      </w:r>
      <w:hyperlink r:id="rId5" w:tooltip="1480" w:history="1">
        <w:r w:rsidRPr="00B4636A">
          <w:rPr>
            <w:rFonts w:ascii="Times New Roman" w:hAnsi="Times New Roman" w:cs="Times New Roman"/>
            <w:sz w:val="28"/>
            <w:szCs w:val="28"/>
            <w:u w:val="single"/>
            <w:lang w:eastAsia="it-IT"/>
          </w:rPr>
          <w:t>1480</w:t>
        </w:r>
      </w:hyperlink>
      <w:r w:rsidRPr="00B4636A">
        <w:rPr>
          <w:rFonts w:ascii="Times New Roman" w:hAnsi="Times New Roman" w:cs="Times New Roman"/>
          <w:sz w:val="28"/>
          <w:szCs w:val="28"/>
          <w:lang w:eastAsia="it-IT"/>
        </w:rPr>
        <w:t> la città </w:t>
      </w:r>
      <w:proofErr w:type="spellStart"/>
      <w:r w:rsidR="005072B3" w:rsidRPr="00B4636A">
        <w:rPr>
          <w:rFonts w:ascii="Times New Roman" w:hAnsi="Times New Roman" w:cs="Times New Roman"/>
          <w:sz w:val="28"/>
          <w:szCs w:val="28"/>
          <w:lang w:eastAsia="it-IT"/>
        </w:rPr>
        <w:fldChar w:fldCharType="begin"/>
      </w:r>
      <w:r w:rsidRPr="00B4636A">
        <w:rPr>
          <w:rFonts w:ascii="Times New Roman" w:hAnsi="Times New Roman" w:cs="Times New Roman"/>
          <w:sz w:val="28"/>
          <w:szCs w:val="28"/>
          <w:lang w:eastAsia="it-IT"/>
        </w:rPr>
        <w:instrText xml:space="preserve"> HYPERLINK "http://it.wikipedia.org/wiki/Salento" \o "Salento" </w:instrText>
      </w:r>
      <w:r w:rsidR="005072B3" w:rsidRPr="00B4636A">
        <w:rPr>
          <w:rFonts w:ascii="Times New Roman" w:hAnsi="Times New Roman" w:cs="Times New Roman"/>
          <w:sz w:val="28"/>
          <w:szCs w:val="28"/>
          <w:lang w:eastAsia="it-IT"/>
        </w:rPr>
        <w:fldChar w:fldCharType="separate"/>
      </w:r>
      <w:r w:rsidRPr="00B4636A">
        <w:rPr>
          <w:rFonts w:ascii="Times New Roman" w:hAnsi="Times New Roman" w:cs="Times New Roman"/>
          <w:sz w:val="28"/>
          <w:szCs w:val="28"/>
          <w:u w:val="single"/>
          <w:lang w:eastAsia="it-IT"/>
        </w:rPr>
        <w:t>salentina</w:t>
      </w:r>
      <w:proofErr w:type="spellEnd"/>
      <w:r w:rsidR="005072B3" w:rsidRPr="00B4636A">
        <w:rPr>
          <w:rFonts w:ascii="Times New Roman" w:hAnsi="Times New Roman" w:cs="Times New Roman"/>
          <w:sz w:val="28"/>
          <w:szCs w:val="28"/>
          <w:lang w:eastAsia="it-IT"/>
        </w:rPr>
        <w:fldChar w:fldCharType="end"/>
      </w:r>
      <w:r w:rsidRPr="00B4636A">
        <w:rPr>
          <w:rFonts w:ascii="Times New Roman" w:hAnsi="Times New Roman" w:cs="Times New Roman"/>
          <w:sz w:val="28"/>
          <w:szCs w:val="28"/>
          <w:lang w:eastAsia="it-IT"/>
        </w:rPr>
        <w:t>, che all'epoca era uno dei porti più importanti d’Italia.</w:t>
      </w:r>
    </w:p>
    <w:p w:rsidR="00B66282" w:rsidRPr="00B4636A" w:rsidRDefault="00B66282" w:rsidP="00B4636A">
      <w:pPr>
        <w:shd w:val="clear" w:color="auto" w:fill="FFFFFF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Il romanzo è suddiviso in cinque racconti reciprocamente intrecciati. Ogni racconto è narrato in prima persona dai vari protagonisti e oltre al punto di vista e alle emozioni personali illustra l’atmosfera di stupore che si viveva contro il nemico comune per difendere la propria città e i propri valori.</w:t>
      </w:r>
    </w:p>
    <w:p w:rsidR="00B66282" w:rsidRPr="00B4636A" w:rsidRDefault="00B66282" w:rsidP="00B4636A">
      <w:pPr>
        <w:shd w:val="clear" w:color="auto" w:fill="FFFFFF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Il romanzo racconta, con gli occhi e le parole di cinque personaggi coinvolti nella storia, il dipanarsi delle varie fasi della battaglia, dall'assalto alla valorosa resistenza e alla resa finale. Il personaggio centrale, </w:t>
      </w:r>
      <w:proofErr w:type="spellStart"/>
      <w:r w:rsidR="005072B3"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fldChar w:fldCharType="begin"/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instrText xml:space="preserve"> HYPERLINK "http://it.wikipedia.org/w/index.php?title=Idrusa&amp;action=edit&amp;redlink=1" \o "Idrusa (la pagina non esiste)" </w:instrText>
      </w:r>
      <w:r w:rsidR="005072B3"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fldChar w:fldCharType="separate"/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>Idrusa</w:t>
      </w:r>
      <w:proofErr w:type="spellEnd"/>
      <w:r w:rsidR="005072B3"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fldChar w:fldCharType="end"/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donna ribelle, forte e coraggiosa, rappresenta una delle figure femminili più famose e studiate nella cultura e nella tradizione letteraria </w:t>
      </w:r>
      <w:proofErr w:type="spellStart"/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salentina</w:t>
      </w:r>
      <w:proofErr w:type="spellEnd"/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e italiana.</w:t>
      </w:r>
    </w:p>
    <w:p w:rsidR="00B66282" w:rsidRPr="00B4636A" w:rsidRDefault="00B66282" w:rsidP="00B4636A">
      <w:pPr>
        <w:shd w:val="clear" w:color="auto" w:fill="FFFFFF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B66282" w:rsidRPr="00B4636A" w:rsidRDefault="00B66282" w:rsidP="00B4636A">
      <w:pPr>
        <w:shd w:val="clear" w:color="auto" w:fill="FFFFFF"/>
        <w:spacing w:before="120" w:after="120" w:line="20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Così scriverà Giorgio Caproni il 30.01.63 su “La Nazione”…</w:t>
      </w:r>
    </w:p>
    <w:p w:rsidR="00B66282" w:rsidRPr="00B4636A" w:rsidRDefault="00B66282" w:rsidP="00B46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La Corti, con l’udito fino di chi è mosso da amore, ha saputo ascoltare alcune di quelle antiche voci (di quelle brillanti giovinezze, di quelle vite), del resto identiche alle figure d’oggi, e in altrettanti racconti in prima persona, concatenati dal motivo conduttore della battaglia, è riuscita a comporre uno spartito musicale tra i più affascinanti, dove l’intera Terra d’Otranto “suona” vivissima non solo nella sua realtà storica di allora, ma in quella, anche geografica ed etnica, d’oggi e di sempre. Una Terra d’Otranto che appunto per la sua concretezza diventa poeticamente la terra delle passioni più vere, e dei più genuini sentimenti dell’intera umanità nostra”</w:t>
      </w:r>
      <w:r w:rsidRPr="00B46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6282" w:rsidRPr="00B4636A" w:rsidRDefault="00B66282" w:rsidP="00B46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r w:rsidRPr="00B46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L’AUTRICE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it-IT"/>
        </w:rPr>
        <w:t>Maria Corti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(</w:t>
      </w:r>
      <w:hyperlink r:id="rId6" w:tooltip="Milan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Milano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 </w:t>
      </w:r>
      <w:hyperlink r:id="rId7" w:tooltip="7 settembre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7 settembre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hyperlink r:id="rId8" w:tooltip="1915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1915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– </w:t>
      </w:r>
      <w:hyperlink r:id="rId9" w:tooltip="Milan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Milano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 </w:t>
      </w:r>
      <w:hyperlink r:id="rId10" w:tooltip="22 febbrai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22 febbraio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hyperlink r:id="rId11" w:tooltip="2002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2002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 è stata una </w:t>
      </w:r>
      <w:hyperlink r:id="rId12" w:tooltip="Filolog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filologa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 </w:t>
      </w:r>
      <w:hyperlink r:id="rId13" w:tooltip="Critico letterari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critica letteraria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 </w:t>
      </w:r>
      <w:hyperlink r:id="rId14" w:tooltip="Scrittore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scrittrice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 </w:t>
      </w:r>
      <w:hyperlink r:id="rId15" w:tooltip="Semiotic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semiologa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</w:t>
      </w:r>
      <w:hyperlink r:id="rId16" w:tooltip="Ital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italiana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Dopo la morte prematura della madre, visse la sua adolescenza prevalentemente in collegio, mentre il padre, ingegnere, lavorava in </w:t>
      </w:r>
      <w:hyperlink r:id="rId17" w:tooltip="Pugl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Puglia</w:t>
        </w:r>
      </w:hyperlink>
      <w:r w:rsidRPr="00B4636A">
        <w:rPr>
          <w:rFonts w:ascii="Times New Roman" w:hAnsi="Times New Roman" w:cs="Times New Roman"/>
          <w:sz w:val="28"/>
          <w:szCs w:val="28"/>
        </w:rPr>
        <w:t xml:space="preserve"> </w:t>
      </w:r>
      <w:r w:rsidRPr="00B4636A">
        <w:rPr>
          <w:rFonts w:ascii="Times New Roman" w:hAnsi="Times New Roman" w:cs="Times New Roman"/>
          <w:color w:val="000000" w:themeColor="text1"/>
          <w:sz w:val="28"/>
          <w:szCs w:val="28"/>
        </w:rPr>
        <w:t>(regione che poi avrebbe influito notevolmente nella sua produzione letteraria)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 Nonostante la situazione, trascorse una giovinezza relativamente serena. S'iscrisse poi all'</w:t>
      </w:r>
      <w:hyperlink r:id="rId18" w:tooltip="Università di Milan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Università di Milano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 conseguì due lauree: la prima in lettere e l’altra in filosofia.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Cominciò a lavorare come insegnante di scuola media, e contemporaneamente, svolgeva all'</w:t>
      </w:r>
      <w:hyperlink r:id="rId19" w:tooltip="Università di Pav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Università di Pavia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un incarico di assistente. Alla fine della </w:t>
      </w:r>
      <w:hyperlink r:id="rId20" w:tooltip="Seconda guerra mondiale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seconda guerra mondiale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dopo una partecipazione attiva alla </w:t>
      </w:r>
      <w:hyperlink r:id="rId21" w:tooltip="Resistenza italian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Resistenza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Maria Corti si dedicò con entusiasmo alla carriera universitaria, ed ebbe l'insegnamento di </w:t>
      </w:r>
      <w:hyperlink r:id="rId22" w:tooltip="Storia della lingua italian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Storia della lingua italiana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all'</w:t>
      </w:r>
      <w:hyperlink r:id="rId23" w:tooltip="Università del Salent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Università del Salento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e, in seguito, all'</w:t>
      </w:r>
      <w:hyperlink r:id="rId24" w:tooltip="Università di Pav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Università di Pavia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destinata a restare per sempre la sua sede universitaria.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Con alcuni colleghi dell'ateneo di Pavia, contribuì a fondare una scuola di studi letterari particolarmente innovativa, denominata </w:t>
      </w:r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Scuola di Pavia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legata alla tradizione </w:t>
      </w:r>
      <w:hyperlink r:id="rId25" w:tooltip="Filolog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filologica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ma anche ai nuovi studi </w:t>
      </w:r>
      <w:hyperlink r:id="rId26" w:tooltip="Semiotic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semiotici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 allo </w:t>
      </w:r>
      <w:hyperlink r:id="rId27" w:tooltip="Strutturalismo (filosofia)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strutturalismo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Maria Corti fondò fra l'altro il </w:t>
      </w:r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Fondo Manoscritti di autori moderni e contemporanei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un archivio di scritti, manoscritti e appunti vari, donati da </w:t>
      </w:r>
      <w:hyperlink r:id="rId28" w:tooltip="Scrittori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scrittori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 </w:t>
      </w:r>
      <w:hyperlink r:id="rId29" w:tooltip="Poesi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poeti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del Novecento, tra i quali </w:t>
      </w:r>
      <w:hyperlink r:id="rId30" w:tooltip="Eugenio Montale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Eugenio Montale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</w:t>
      </w:r>
      <w:hyperlink r:id="rId31" w:tooltip="Romano Bilenchi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 xml:space="preserve">Romano </w:t>
        </w:r>
        <w:proofErr w:type="spellStart"/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Bilenchi</w:t>
        </w:r>
        <w:proofErr w:type="spellEnd"/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 </w:t>
      </w:r>
      <w:hyperlink r:id="rId32" w:tooltip="Carlo Emilio Gadd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Carlo Emilio Gadda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attualmente la Fondazione (che in </w:t>
      </w:r>
      <w:hyperlink r:id="rId33" w:tooltip="Europ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Europa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è paragonabile solo al </w:t>
      </w:r>
      <w:hyperlink r:id="rId34" w:tooltip="Fondo Marbach (la pagina non esiste)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 xml:space="preserve">Fondo </w:t>
        </w:r>
        <w:proofErr w:type="spellStart"/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Marbach</w:t>
        </w:r>
        <w:proofErr w:type="spellEnd"/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presso </w:t>
      </w:r>
      <w:hyperlink r:id="rId35" w:tooltip="Stoccard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Stoccarda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 è in possesso di scritti di valore immenso e inestimabile: Luzi, Calvino, Levi, Saba etc.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Si dedicò in particolare allo studio della letteratura italiana contemporanea, e scrisse vari romanzi non trascurando però la sua grande passione per la </w:t>
      </w:r>
      <w:hyperlink r:id="rId36" w:tooltip="Storia medievale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storia medievale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con i suoi saggi su </w:t>
      </w:r>
      <w:hyperlink r:id="rId37" w:tooltip="Guido Cavalcanti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Cavalcanti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 </w:t>
      </w:r>
      <w:hyperlink r:id="rId38" w:tooltip="Dante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Dante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l'</w:t>
      </w:r>
      <w:hyperlink r:id="rId39" w:tooltip="Aristotelism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aristotelismo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latino e l'influsso della cultura araba. 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La Corti non solo si dedicò all'insegnamento, ma per la scuola scrisse diversi libri di testo: fra gli altri, l'innovativa grammatica </w:t>
      </w:r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Una lingua per tutti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(</w:t>
      </w:r>
      <w:hyperlink r:id="rId40" w:tooltip="1978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1978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),  non va poi dimenticato che nel suo dinamismo culturale fu un'accademica della Crusca, fondò e diresse riviste come </w:t>
      </w:r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"Strumenti critici"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 </w:t>
      </w:r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"</w:t>
      </w:r>
      <w:hyperlink r:id="rId41" w:tooltip="Autografo (rivista)" w:history="1">
        <w:r w:rsidRPr="00B4636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it-IT"/>
          </w:rPr>
          <w:t>Autografo</w:t>
        </w:r>
      </w:hyperlink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"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</w:t>
      </w:r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"</w:t>
      </w:r>
      <w:hyperlink r:id="rId42" w:tooltip="Alfabeta" w:history="1">
        <w:r w:rsidRPr="00B4636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it-IT"/>
          </w:rPr>
          <w:t>Alfabeta</w:t>
        </w:r>
      </w:hyperlink>
      <w:r w:rsidRPr="00B463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it-IT"/>
        </w:rPr>
        <w:t>"</w:t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collaborando anche a riviste e ai quotidiani "</w:t>
      </w:r>
      <w:hyperlink r:id="rId43" w:tooltip="Il Giorn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Il Giorno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" e "</w:t>
      </w:r>
      <w:hyperlink r:id="rId44" w:tooltip="La Repubblica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la Repubblica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".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Ricevette alcuni premi: nel </w:t>
      </w:r>
      <w:hyperlink r:id="rId45" w:tooltip="1989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1989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il </w:t>
      </w:r>
      <w:hyperlink r:id="rId46" w:tooltip="Premio Flaian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Premio Flaiano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l'</w:t>
      </w:r>
      <w:proofErr w:type="spellStart"/>
      <w:r w:rsidR="005072B3"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fldChar w:fldCharType="begin"/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instrText xml:space="preserve"> HYPERLINK "http://it.wikipedia.org/wiki/Ambrogino_d%27oro" \o "Ambrogino d'oro" </w:instrText>
      </w:r>
      <w:r w:rsidR="005072B3"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fldChar w:fldCharType="separate"/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Ambrogino</w:t>
      </w:r>
      <w:proofErr w:type="spellEnd"/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d'oro</w:t>
      </w:r>
      <w:r w:rsidR="005072B3"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fldChar w:fldCharType="end"/>
      </w: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 il premio speciale per la letteratura della Presidenza del Consiglio, nel 1999 il premio Ministro dei Beni culturali dall'</w:t>
      </w:r>
      <w:hyperlink r:id="rId47" w:tooltip="Accademia dei Lincei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Accademia dei Lincei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e, nello stesso anno, il </w:t>
      </w:r>
      <w:hyperlink r:id="rId48" w:tooltip="Premio Campiello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Premio Campiello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alla carriera.</w:t>
      </w:r>
    </w:p>
    <w:p w:rsidR="00B66282" w:rsidRPr="00B4636A" w:rsidRDefault="00B66282" w:rsidP="00B4636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All'inizio del </w:t>
      </w:r>
      <w:hyperlink r:id="rId49" w:tooltip="2002" w:history="1">
        <w:r w:rsidRPr="00B46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it-IT"/>
          </w:rPr>
          <w:t>2002</w:t>
        </w:r>
      </w:hyperlink>
      <w:r w:rsidRPr="00B4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ancora attiva e lucida venne ricoverata all'ospedale San Paolo di Milano in seguito a una crisi respiratoria, e il 22 febbraio morì.</w:t>
      </w:r>
    </w:p>
    <w:sectPr w:rsidR="00B66282" w:rsidRPr="00B4636A" w:rsidSect="002F4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185E"/>
    <w:rsid w:val="00116BF9"/>
    <w:rsid w:val="002F41CE"/>
    <w:rsid w:val="005072B3"/>
    <w:rsid w:val="0064185E"/>
    <w:rsid w:val="00B4636A"/>
    <w:rsid w:val="00B66282"/>
    <w:rsid w:val="00DF089A"/>
    <w:rsid w:val="00F9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85E"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Critico_letterario" TargetMode="External"/><Relationship Id="rId18" Type="http://schemas.openxmlformats.org/officeDocument/2006/relationships/hyperlink" Target="http://it.wikipedia.org/wiki/Universit%C3%A0_di_Milano" TargetMode="External"/><Relationship Id="rId26" Type="http://schemas.openxmlformats.org/officeDocument/2006/relationships/hyperlink" Target="http://it.wikipedia.org/wiki/Semiotica" TargetMode="External"/><Relationship Id="rId39" Type="http://schemas.openxmlformats.org/officeDocument/2006/relationships/hyperlink" Target="http://it.wikipedia.org/wiki/Aristotelis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Resistenza_italiana" TargetMode="External"/><Relationship Id="rId34" Type="http://schemas.openxmlformats.org/officeDocument/2006/relationships/hyperlink" Target="http://it.wikipedia.org/w/index.php?title=Fondo_Marbach&amp;action=edit&amp;redlink=1" TargetMode="External"/><Relationship Id="rId42" Type="http://schemas.openxmlformats.org/officeDocument/2006/relationships/hyperlink" Target="http://it.wikipedia.org/wiki/Alfabeta" TargetMode="External"/><Relationship Id="rId47" Type="http://schemas.openxmlformats.org/officeDocument/2006/relationships/hyperlink" Target="http://it.wikipedia.org/wiki/Accademia_dei_Lince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t.wikipedia.org/wiki/7_settembre" TargetMode="External"/><Relationship Id="rId12" Type="http://schemas.openxmlformats.org/officeDocument/2006/relationships/hyperlink" Target="http://it.wikipedia.org/wiki/Filologia" TargetMode="External"/><Relationship Id="rId17" Type="http://schemas.openxmlformats.org/officeDocument/2006/relationships/hyperlink" Target="http://it.wikipedia.org/wiki/Puglia" TargetMode="External"/><Relationship Id="rId25" Type="http://schemas.openxmlformats.org/officeDocument/2006/relationships/hyperlink" Target="http://it.wikipedia.org/wiki/Filologia" TargetMode="External"/><Relationship Id="rId33" Type="http://schemas.openxmlformats.org/officeDocument/2006/relationships/hyperlink" Target="http://it.wikipedia.org/wiki/Europa" TargetMode="External"/><Relationship Id="rId38" Type="http://schemas.openxmlformats.org/officeDocument/2006/relationships/hyperlink" Target="http://it.wikipedia.org/wiki/Dante" TargetMode="External"/><Relationship Id="rId46" Type="http://schemas.openxmlformats.org/officeDocument/2006/relationships/hyperlink" Target="http://it.wikipedia.org/wiki/Premio_Flaia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Italia" TargetMode="External"/><Relationship Id="rId20" Type="http://schemas.openxmlformats.org/officeDocument/2006/relationships/hyperlink" Target="http://it.wikipedia.org/wiki/Seconda_guerra_mondiale" TargetMode="External"/><Relationship Id="rId29" Type="http://schemas.openxmlformats.org/officeDocument/2006/relationships/hyperlink" Target="http://it.wikipedia.org/wiki/Poesia" TargetMode="External"/><Relationship Id="rId41" Type="http://schemas.openxmlformats.org/officeDocument/2006/relationships/hyperlink" Target="http://it.wikipedia.org/wiki/Autografo_(rivista)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Milano" TargetMode="External"/><Relationship Id="rId11" Type="http://schemas.openxmlformats.org/officeDocument/2006/relationships/hyperlink" Target="http://it.wikipedia.org/wiki/2002" TargetMode="External"/><Relationship Id="rId24" Type="http://schemas.openxmlformats.org/officeDocument/2006/relationships/hyperlink" Target="http://it.wikipedia.org/wiki/Universit%C3%A0_di_Pavia" TargetMode="External"/><Relationship Id="rId32" Type="http://schemas.openxmlformats.org/officeDocument/2006/relationships/hyperlink" Target="http://it.wikipedia.org/wiki/Carlo_Emilio_Gadda" TargetMode="External"/><Relationship Id="rId37" Type="http://schemas.openxmlformats.org/officeDocument/2006/relationships/hyperlink" Target="http://it.wikipedia.org/wiki/Guido_Cavalcanti" TargetMode="External"/><Relationship Id="rId40" Type="http://schemas.openxmlformats.org/officeDocument/2006/relationships/hyperlink" Target="http://it.wikipedia.org/wiki/1978" TargetMode="External"/><Relationship Id="rId45" Type="http://schemas.openxmlformats.org/officeDocument/2006/relationships/hyperlink" Target="http://it.wikipedia.org/wiki/1989" TargetMode="External"/><Relationship Id="rId5" Type="http://schemas.openxmlformats.org/officeDocument/2006/relationships/hyperlink" Target="http://it.wikipedia.org/wiki/1480" TargetMode="External"/><Relationship Id="rId15" Type="http://schemas.openxmlformats.org/officeDocument/2006/relationships/hyperlink" Target="http://it.wikipedia.org/wiki/Semiotica" TargetMode="External"/><Relationship Id="rId23" Type="http://schemas.openxmlformats.org/officeDocument/2006/relationships/hyperlink" Target="http://it.wikipedia.org/wiki/Universit%C3%A0_del_Salento" TargetMode="External"/><Relationship Id="rId28" Type="http://schemas.openxmlformats.org/officeDocument/2006/relationships/hyperlink" Target="http://it.wikipedia.org/wiki/Scrittori" TargetMode="External"/><Relationship Id="rId36" Type="http://schemas.openxmlformats.org/officeDocument/2006/relationships/hyperlink" Target="http://it.wikipedia.org/wiki/Storia_medievale" TargetMode="External"/><Relationship Id="rId49" Type="http://schemas.openxmlformats.org/officeDocument/2006/relationships/hyperlink" Target="http://it.wikipedia.org/wiki/2002" TargetMode="External"/><Relationship Id="rId10" Type="http://schemas.openxmlformats.org/officeDocument/2006/relationships/hyperlink" Target="http://it.wikipedia.org/wiki/22_febbraio" TargetMode="External"/><Relationship Id="rId19" Type="http://schemas.openxmlformats.org/officeDocument/2006/relationships/hyperlink" Target="http://it.wikipedia.org/wiki/Universit%C3%A0_di_Pavia" TargetMode="External"/><Relationship Id="rId31" Type="http://schemas.openxmlformats.org/officeDocument/2006/relationships/hyperlink" Target="http://it.wikipedia.org/wiki/Romano_Bilenchi" TargetMode="External"/><Relationship Id="rId44" Type="http://schemas.openxmlformats.org/officeDocument/2006/relationships/hyperlink" Target="http://it.wikipedia.org/wiki/La_Repubblica" TargetMode="External"/><Relationship Id="rId4" Type="http://schemas.openxmlformats.org/officeDocument/2006/relationships/hyperlink" Target="http://it.wikipedia.org/wiki/Battaglia_di_Otranto" TargetMode="External"/><Relationship Id="rId9" Type="http://schemas.openxmlformats.org/officeDocument/2006/relationships/hyperlink" Target="http://it.wikipedia.org/wiki/Milano" TargetMode="External"/><Relationship Id="rId14" Type="http://schemas.openxmlformats.org/officeDocument/2006/relationships/hyperlink" Target="http://it.wikipedia.org/wiki/Scrittore" TargetMode="External"/><Relationship Id="rId22" Type="http://schemas.openxmlformats.org/officeDocument/2006/relationships/hyperlink" Target="http://it.wikipedia.org/wiki/Storia_della_lingua_italiana" TargetMode="External"/><Relationship Id="rId27" Type="http://schemas.openxmlformats.org/officeDocument/2006/relationships/hyperlink" Target="http://it.wikipedia.org/wiki/Strutturalismo_(filosofia)" TargetMode="External"/><Relationship Id="rId30" Type="http://schemas.openxmlformats.org/officeDocument/2006/relationships/hyperlink" Target="http://it.wikipedia.org/wiki/Eugenio_Montale" TargetMode="External"/><Relationship Id="rId35" Type="http://schemas.openxmlformats.org/officeDocument/2006/relationships/hyperlink" Target="http://it.wikipedia.org/wiki/Stoccarda" TargetMode="External"/><Relationship Id="rId43" Type="http://schemas.openxmlformats.org/officeDocument/2006/relationships/hyperlink" Target="http://it.wikipedia.org/wiki/Il_Giorno" TargetMode="External"/><Relationship Id="rId48" Type="http://schemas.openxmlformats.org/officeDocument/2006/relationships/hyperlink" Target="http://it.wikipedia.org/wiki/Premio_Campiello" TargetMode="External"/><Relationship Id="rId8" Type="http://schemas.openxmlformats.org/officeDocument/2006/relationships/hyperlink" Target="http://it.wikipedia.org/wiki/191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GiordanoF</cp:lastModifiedBy>
  <cp:revision>2</cp:revision>
  <dcterms:created xsi:type="dcterms:W3CDTF">2016-01-26T10:07:00Z</dcterms:created>
  <dcterms:modified xsi:type="dcterms:W3CDTF">2016-01-26T10:07:00Z</dcterms:modified>
</cp:coreProperties>
</file>